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A3A5" w14:textId="46659C9E" w:rsidR="00736BCE" w:rsidRPr="00503247" w:rsidRDefault="00736BCE" w:rsidP="00736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247">
        <w:rPr>
          <w:rFonts w:ascii="Times New Roman" w:hAnsi="Times New Roman" w:cs="Times New Roman"/>
          <w:b/>
          <w:sz w:val="32"/>
          <w:szCs w:val="32"/>
        </w:rPr>
        <w:t>Review Sheet: Motivation and Emotion</w:t>
      </w:r>
    </w:p>
    <w:p w14:paraId="43362E98" w14:textId="5E6D13C4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D4B">
        <w:rPr>
          <w:rFonts w:ascii="Times New Roman" w:hAnsi="Times New Roman" w:cs="Times New Roman"/>
          <w:b/>
          <w:sz w:val="24"/>
          <w:szCs w:val="24"/>
          <w:u w:val="single"/>
        </w:rPr>
        <w:t>Part 1: Multiple Choice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12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questions, 1 point each</w:t>
      </w:r>
    </w:p>
    <w:p w14:paraId="5BEE5C61" w14:textId="364356B7" w:rsidR="00803D4B" w:rsidRPr="00803D4B" w:rsidRDefault="00803D4B" w:rsidP="005F40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D4B">
        <w:rPr>
          <w:rFonts w:ascii="Times New Roman" w:hAnsi="Times New Roman" w:cs="Times New Roman"/>
          <w:b/>
          <w:sz w:val="24"/>
          <w:szCs w:val="24"/>
          <w:u w:val="single"/>
        </w:rPr>
        <w:t>Chapter 11: Motivation</w:t>
      </w:r>
    </w:p>
    <w:p w14:paraId="65A72303" w14:textId="030EDC1C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the definition of motivation</w:t>
      </w:r>
      <w:r w:rsidR="005F40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0F16" w14:textId="6C1ED7CA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 able to differentiate between the four theories of motivation-instinct theory, drive-reduction theory, optimum arousal theory, Maslow’s hierarchy</w:t>
      </w:r>
      <w:r w:rsidR="005F40CB">
        <w:rPr>
          <w:rFonts w:ascii="Times New Roman" w:hAnsi="Times New Roman" w:cs="Times New Roman"/>
          <w:sz w:val="24"/>
          <w:szCs w:val="24"/>
        </w:rPr>
        <w:t>.</w:t>
      </w:r>
    </w:p>
    <w:p w14:paraId="4BACDD44" w14:textId="7649545F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Know the definition of an instinct</w:t>
      </w:r>
      <w:r w:rsidR="005F40CB">
        <w:rPr>
          <w:rFonts w:ascii="Times New Roman" w:hAnsi="Times New Roman" w:cs="Times New Roman"/>
          <w:sz w:val="24"/>
          <w:szCs w:val="24"/>
        </w:rPr>
        <w:t>.</w:t>
      </w:r>
    </w:p>
    <w:p w14:paraId="6CB1D4D8" w14:textId="62B47057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 able to differentiate between a need, a drive, and an incentive.</w:t>
      </w:r>
    </w:p>
    <w:p w14:paraId="3F46988A" w14:textId="713AA74D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are the needs on Maslow’s hierarchy of needs? What is their correct order? What is self-actualization and self-transcendence?</w:t>
      </w:r>
    </w:p>
    <w:p w14:paraId="2E1E8957" w14:textId="0AC3E87E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Know the definition of glucose and know how glucose impacts hunger. Also, know the various appetite hormones and their functions.</w:t>
      </w:r>
    </w:p>
    <w:p w14:paraId="18BAE33F" w14:textId="49096C44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Know the two brain centers that control eating</w:t>
      </w:r>
      <w:r w:rsidR="00A612AE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hat depresses hunger? What brings it on? Recall the “Hunger and the Fat Rat” </w:t>
      </w:r>
      <w:r w:rsidR="00811410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 xml:space="preserve"> and the effects of stimulation and destruction (a lesion)</w:t>
      </w:r>
      <w:r w:rsidR="00811410">
        <w:rPr>
          <w:rFonts w:ascii="Times New Roman" w:hAnsi="Times New Roman" w:cs="Times New Roman"/>
          <w:sz w:val="24"/>
          <w:szCs w:val="24"/>
        </w:rPr>
        <w:t xml:space="preserve"> of different parts of the hypothalamus on appetite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59EBD" w14:textId="73529BA9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Be aware of how taste preferences can be biologically, or culturally, influenced.</w:t>
      </w:r>
    </w:p>
    <w:p w14:paraId="432A8C45" w14:textId="1566A1C9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is a Set Point? How does your Set Point affect hunger and how does how much you eat over time alter your Set Point?</w:t>
      </w:r>
    </w:p>
    <w:p w14:paraId="5424A479" w14:textId="6FF79867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are the primary causes of obesity? Why is it extremely difficult for extremely obese people to lose weight?</w:t>
      </w:r>
    </w:p>
    <w:p w14:paraId="1A97FF3B" w14:textId="6115BF64" w:rsidR="00736BCE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6BCE">
        <w:rPr>
          <w:rFonts w:ascii="Times New Roman" w:hAnsi="Times New Roman" w:cs="Times New Roman"/>
          <w:sz w:val="24"/>
          <w:szCs w:val="24"/>
        </w:rPr>
        <w:t>. Know the symptoms of various eating disorders—anorexia nervosa, bulimia nervosa, and binge eating.</w:t>
      </w:r>
    </w:p>
    <w:p w14:paraId="2728D18E" w14:textId="621D94DB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Understand how genetics, environment, and family background can affect one’s likelihood of developing an eating disorder.</w:t>
      </w:r>
    </w:p>
    <w:p w14:paraId="759DE735" w14:textId="10C2C900" w:rsidR="00736BCE" w:rsidRDefault="00736BCE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Understand how eating disorders </w:t>
      </w:r>
      <w:r w:rsidR="005F40CB">
        <w:rPr>
          <w:rFonts w:ascii="Times New Roman" w:hAnsi="Times New Roman" w:cs="Times New Roman"/>
          <w:sz w:val="24"/>
          <w:szCs w:val="24"/>
        </w:rPr>
        <w:t>are affecting under researched populations, particularly men and minority women.</w:t>
      </w:r>
    </w:p>
    <w:p w14:paraId="100BFE99" w14:textId="4266122E" w:rsidR="005F40CB" w:rsidRDefault="005F40C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Understand the gender differences in body image, as well as how culture might affect this.</w:t>
      </w:r>
    </w:p>
    <w:p w14:paraId="18C659A2" w14:textId="486C37DD" w:rsidR="005F40CB" w:rsidRDefault="005F40C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Be aware of the assets and shortcomings of Kinsey’s research on sex behavior.</w:t>
      </w:r>
    </w:p>
    <w:p w14:paraId="4B8CD7B7" w14:textId="1871A0F0" w:rsidR="005F40CB" w:rsidRDefault="005F40C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 familiar with the Masters and Johnson studies and the physiology of sex: sexual response cycle, sexual dysfunction, sex hormones.</w:t>
      </w:r>
    </w:p>
    <w:p w14:paraId="43845426" w14:textId="2A862080" w:rsidR="005F40CB" w:rsidRDefault="005F40C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Be aware of how external and imagined stimuli can affect our sexual motivation.</w:t>
      </w:r>
    </w:p>
    <w:p w14:paraId="0AF8CDF0" w14:textId="7B865532" w:rsidR="005F40CB" w:rsidRDefault="005F40C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Be familiar with sexual orientation, as well as the research that has been done regarding sexual orientation (especially research on potential biological causes of homosexuality).</w:t>
      </w:r>
    </w:p>
    <w:p w14:paraId="17C61ED8" w14:textId="213B2ADE" w:rsidR="005F40CB" w:rsidRDefault="005F40C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Understand how belonging </w:t>
      </w:r>
      <w:r w:rsidR="00811410">
        <w:rPr>
          <w:rFonts w:ascii="Times New Roman" w:hAnsi="Times New Roman" w:cs="Times New Roman"/>
          <w:sz w:val="24"/>
          <w:szCs w:val="24"/>
        </w:rPr>
        <w:t xml:space="preserve">to a group </w:t>
      </w:r>
      <w:r>
        <w:rPr>
          <w:rFonts w:ascii="Times New Roman" w:hAnsi="Times New Roman" w:cs="Times New Roman"/>
          <w:sz w:val="24"/>
          <w:szCs w:val="24"/>
        </w:rPr>
        <w:t>can benefit us.</w:t>
      </w:r>
    </w:p>
    <w:p w14:paraId="41A675A4" w14:textId="764840CB" w:rsidR="005F40CB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40CB">
        <w:rPr>
          <w:rFonts w:ascii="Times New Roman" w:hAnsi="Times New Roman" w:cs="Times New Roman"/>
          <w:sz w:val="24"/>
          <w:szCs w:val="24"/>
        </w:rPr>
        <w:t>. Be able to define loneliness and ostracism.</w:t>
      </w:r>
    </w:p>
    <w:p w14:paraId="5B9EE26E" w14:textId="2EE77940" w:rsidR="005F40CB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F40CB">
        <w:rPr>
          <w:rFonts w:ascii="Times New Roman" w:hAnsi="Times New Roman" w:cs="Times New Roman"/>
          <w:sz w:val="24"/>
          <w:szCs w:val="24"/>
        </w:rPr>
        <w:t>.  How has social media and social networking affect</w:t>
      </w:r>
      <w:r w:rsidR="00811410">
        <w:rPr>
          <w:rFonts w:ascii="Times New Roman" w:hAnsi="Times New Roman" w:cs="Times New Roman"/>
          <w:sz w:val="24"/>
          <w:szCs w:val="24"/>
        </w:rPr>
        <w:t>ed</w:t>
      </w:r>
      <w:r w:rsidR="005F40CB">
        <w:rPr>
          <w:rFonts w:ascii="Times New Roman" w:hAnsi="Times New Roman" w:cs="Times New Roman"/>
          <w:sz w:val="24"/>
          <w:szCs w:val="24"/>
        </w:rPr>
        <w:t xml:space="preserve"> our need to belong? Why are face to face contacts with other human beings so important?</w:t>
      </w:r>
    </w:p>
    <w:p w14:paraId="09B6C1F5" w14:textId="433B7C9D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6B985" w14:textId="50626898" w:rsidR="00D65388" w:rsidRPr="00803D4B" w:rsidRDefault="00D65388" w:rsidP="005F40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D4B">
        <w:rPr>
          <w:rFonts w:ascii="Times New Roman" w:hAnsi="Times New Roman" w:cs="Times New Roman"/>
          <w:b/>
          <w:sz w:val="24"/>
          <w:szCs w:val="24"/>
          <w:u w:val="single"/>
        </w:rPr>
        <w:t>Chapter 12: Emotion</w:t>
      </w:r>
    </w:p>
    <w:p w14:paraId="244296F3" w14:textId="3E9FF37D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the definition of emotion. Also, be familiar with the various theories that attempt to explain emotion—James-Lange theory, Cannon-Bard theory, two-factor theory.</w:t>
      </w:r>
    </w:p>
    <w:p w14:paraId="194CD283" w14:textId="1C92E643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Be familiar with the debate regarding whether cognition precedes emotion. Know the two researchers at the forefront of this debate and also know their points of view on this issue.</w:t>
      </w:r>
    </w:p>
    <w:p w14:paraId="4A985F5F" w14:textId="51B69C30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 familiar with Lazarus’ cognitive appraisal theory.</w:t>
      </w:r>
    </w:p>
    <w:p w14:paraId="6592C729" w14:textId="119605B4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Know the two dimensions of emotion—valence and arousal.</w:t>
      </w:r>
    </w:p>
    <w:p w14:paraId="43657B9E" w14:textId="745E6C68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Be aware of how physiology can affect our emotional experience, both in general and specifically.</w:t>
      </w:r>
    </w:p>
    <w:p w14:paraId="6571C17F" w14:textId="2BE6441B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 familiar with polygraphs—what they are intended to measure and the controversy that surrounds their use.</w:t>
      </w:r>
    </w:p>
    <w:p w14:paraId="3BCF97ED" w14:textId="7A798548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 familiar with nonverbal communication—how we communicate using it, the gender differences underlying it, and how we detect the subtleties of it.</w:t>
      </w:r>
    </w:p>
    <w:p w14:paraId="22FB1ECF" w14:textId="141158E1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Be aware of the impact culture has on emotional expression—facial expressions, gestures, how much emotion is expressed.</w:t>
      </w:r>
    </w:p>
    <w:p w14:paraId="788B7A37" w14:textId="2B4E5B61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Know how facial expressions can impact emotions.</w:t>
      </w:r>
    </w:p>
    <w:p w14:paraId="781474D9" w14:textId="59FBD256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Be familiar with the differences between the genuine smile and a fake smile.</w:t>
      </w:r>
      <w:r w:rsidR="007048B0">
        <w:rPr>
          <w:rFonts w:ascii="Times New Roman" w:hAnsi="Times New Roman" w:cs="Times New Roman"/>
          <w:sz w:val="24"/>
          <w:szCs w:val="24"/>
        </w:rPr>
        <w:t xml:space="preserve"> Be familiar with Paul Ekman’s research on the universality of facial expressions across the globe.</w:t>
      </w:r>
    </w:p>
    <w:p w14:paraId="1EE05869" w14:textId="3CC21387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How many basic emotions are there?</w:t>
      </w:r>
    </w:p>
    <w:p w14:paraId="7C73F68F" w14:textId="761C2FC2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Be familiar with the concept of contagious emotions.</w:t>
      </w:r>
    </w:p>
    <w:p w14:paraId="32610A42" w14:textId="0D2D41D0" w:rsidR="00D65388" w:rsidRDefault="00D65388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03D4B">
        <w:rPr>
          <w:rFonts w:ascii="Times New Roman" w:hAnsi="Times New Roman" w:cs="Times New Roman"/>
          <w:sz w:val="24"/>
          <w:szCs w:val="24"/>
        </w:rPr>
        <w:t>Be familiar with fear—are all fears learned? Are we biologically predisposed toward some fears?</w:t>
      </w:r>
    </w:p>
    <w:p w14:paraId="1C4272D3" w14:textId="2F9706A2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is a phobia?</w:t>
      </w:r>
    </w:p>
    <w:p w14:paraId="4FE634C4" w14:textId="11C2F682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Know what catharsis and the catharsis hypothesis are. Does catharsis tend to have a long-term effect on our anger? What is the best way to handle anger?</w:t>
      </w:r>
    </w:p>
    <w:p w14:paraId="7F779038" w14:textId="6F498DA7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Be familiar with the feel-good, do-good phenomenon and subjective well-being.</w:t>
      </w:r>
    </w:p>
    <w:p w14:paraId="40D063A7" w14:textId="38E64B81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Be familiar with the research on happiness—when are we at our happiest during the week? What are the benefits of living a happy life? Does trauma permanently depress our happiness?</w:t>
      </w:r>
    </w:p>
    <w:p w14:paraId="75EB7172" w14:textId="2EFE5E30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Know the definition of the adaption-level phenomenon and relative deprivation.</w:t>
      </w:r>
    </w:p>
    <w:p w14:paraId="6F702FDA" w14:textId="6A537F4F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Know the factors that do and do not tend to impact a person’s happiness.</w:t>
      </w:r>
    </w:p>
    <w:p w14:paraId="2047EFB7" w14:textId="02C3F62F" w:rsidR="00803D4B" w:rsidRDefault="00803D4B" w:rsidP="005F4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80D1E" w14:textId="21A0BD1F" w:rsidR="00803D4B" w:rsidRDefault="00B35FD1" w:rsidP="005F4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II: FRQ</w:t>
      </w:r>
      <w:r>
        <w:rPr>
          <w:rFonts w:ascii="Times New Roman" w:hAnsi="Times New Roman" w:cs="Times New Roman"/>
          <w:sz w:val="24"/>
          <w:szCs w:val="24"/>
        </w:rPr>
        <w:t xml:space="preserve"> (one question</w:t>
      </w:r>
      <w:r w:rsidR="00803D4B">
        <w:rPr>
          <w:rFonts w:ascii="Times New Roman" w:hAnsi="Times New Roman" w:cs="Times New Roman"/>
          <w:sz w:val="24"/>
          <w:szCs w:val="24"/>
        </w:rPr>
        <w:t xml:space="preserve"> worth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01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  <w:r w:rsidR="00803D4B">
        <w:rPr>
          <w:rFonts w:ascii="Times New Roman" w:hAnsi="Times New Roman" w:cs="Times New Roman"/>
          <w:sz w:val="24"/>
          <w:szCs w:val="24"/>
        </w:rPr>
        <w:t>)</w:t>
      </w:r>
    </w:p>
    <w:p w14:paraId="2E840F73" w14:textId="77777777" w:rsidR="00B35FD1" w:rsidRDefault="00B35FD1" w:rsidP="005F4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77B64" w14:textId="481F526B" w:rsidR="00736BCE" w:rsidRPr="00B35FD1" w:rsidRDefault="00B35FD1" w:rsidP="0073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FRQ will be similar in style to the FRQ’s from recent tests.  There will be a prompt, followed by seven concepts – a mix of Motivation and Emotion terms.  You will have to explain how each concept relates to the scenario described in the prompt.  You will be able to choose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of the concepts that you feel you understand the best to write about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Those who attend the Review Session will be supplied the seven concepts in advance.</w:t>
      </w:r>
    </w:p>
    <w:sectPr w:rsidR="00736BCE" w:rsidRPr="00B35F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7DD3" w14:textId="77777777" w:rsidR="00D76029" w:rsidRDefault="00D76029" w:rsidP="007048B0">
      <w:pPr>
        <w:spacing w:after="0" w:line="240" w:lineRule="auto"/>
      </w:pPr>
      <w:r>
        <w:separator/>
      </w:r>
    </w:p>
  </w:endnote>
  <w:endnote w:type="continuationSeparator" w:id="0">
    <w:p w14:paraId="20B65695" w14:textId="77777777" w:rsidR="00D76029" w:rsidRDefault="00D76029" w:rsidP="0070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953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97666D" w14:textId="2847C422" w:rsidR="007048B0" w:rsidRPr="007048B0" w:rsidRDefault="007048B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48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48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48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F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48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26C347" w14:textId="77777777" w:rsidR="007048B0" w:rsidRDefault="0070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205C" w14:textId="77777777" w:rsidR="00D76029" w:rsidRDefault="00D76029" w:rsidP="007048B0">
      <w:pPr>
        <w:spacing w:after="0" w:line="240" w:lineRule="auto"/>
      </w:pPr>
      <w:r>
        <w:separator/>
      </w:r>
    </w:p>
  </w:footnote>
  <w:footnote w:type="continuationSeparator" w:id="0">
    <w:p w14:paraId="217DF6E5" w14:textId="77777777" w:rsidR="00D76029" w:rsidRDefault="00D76029" w:rsidP="0070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E"/>
    <w:rsid w:val="000158E1"/>
    <w:rsid w:val="00347C86"/>
    <w:rsid w:val="00503247"/>
    <w:rsid w:val="005F40CB"/>
    <w:rsid w:val="007048B0"/>
    <w:rsid w:val="00736BCE"/>
    <w:rsid w:val="00803D4B"/>
    <w:rsid w:val="00811410"/>
    <w:rsid w:val="00A612AE"/>
    <w:rsid w:val="00B3012D"/>
    <w:rsid w:val="00B35FD1"/>
    <w:rsid w:val="00D65388"/>
    <w:rsid w:val="00D76029"/>
    <w:rsid w:val="00DC2238"/>
    <w:rsid w:val="00DD4C01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E95D"/>
  <w15:chartTrackingRefBased/>
  <w15:docId w15:val="{EEEF6C94-B9C1-411B-BE18-84AF26D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B0"/>
  </w:style>
  <w:style w:type="paragraph" w:styleId="Footer">
    <w:name w:val="footer"/>
    <w:basedOn w:val="Normal"/>
    <w:link w:val="FooterChar"/>
    <w:uiPriority w:val="99"/>
    <w:unhideWhenUsed/>
    <w:rsid w:val="0070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Messenlehner, Adam R.</dc:creator>
  <cp:keywords/>
  <dc:description/>
  <cp:lastModifiedBy>Brent Belvin</cp:lastModifiedBy>
  <cp:revision>4</cp:revision>
  <dcterms:created xsi:type="dcterms:W3CDTF">2018-02-26T02:37:00Z</dcterms:created>
  <dcterms:modified xsi:type="dcterms:W3CDTF">2020-02-24T14:38:00Z</dcterms:modified>
</cp:coreProperties>
</file>